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Хроническая болезнь почек в практике врачей амбулаторного и стационарного звена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36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Хроническая болезнь почек в практике врачей амбулаторного и стационарного звена.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29.03.2024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