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Менеджмент в здравоохранении как основа современного управления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Менеджмент в здравоохранении как основа современного управления.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28.03.2024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